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FD" w:rsidRPr="00F00648" w:rsidRDefault="005919FD" w:rsidP="005919FD">
      <w:pPr>
        <w:spacing w:before="120"/>
        <w:jc w:val="both"/>
        <w:rPr>
          <w:rFonts w:ascii="Arial" w:hAnsi="Arial" w:cs="Arial"/>
          <w:b/>
          <w:u w:val="single"/>
        </w:rPr>
      </w:pPr>
      <w:r w:rsidRPr="00F00648">
        <w:rPr>
          <w:rFonts w:ascii="Arial" w:hAnsi="Arial" w:cs="Arial"/>
          <w:b/>
          <w:u w:val="single"/>
        </w:rPr>
        <w:t>Year Planner</w:t>
      </w:r>
    </w:p>
    <w:p w:rsidR="005919FD" w:rsidRPr="00F00648" w:rsidRDefault="005919FD" w:rsidP="005919FD">
      <w:pPr>
        <w:spacing w:before="120"/>
        <w:jc w:val="both"/>
        <w:rPr>
          <w:rFonts w:ascii="Arial" w:hAnsi="Arial" w:cs="Arial"/>
        </w:rPr>
      </w:pPr>
      <w:r w:rsidRPr="00F00648">
        <w:rPr>
          <w:rFonts w:ascii="Arial" w:hAnsi="Arial" w:cs="Arial"/>
        </w:rPr>
        <w:t>The plan below briefly outlines the topics the children will cover.   Occasionally, some elements won’t be covered during the term indicated but will have been studied by the end of the year.</w:t>
      </w:r>
    </w:p>
    <w:p w:rsidR="005919FD" w:rsidRPr="00F00648" w:rsidRDefault="005919FD" w:rsidP="005919FD">
      <w:pPr>
        <w:spacing w:before="120"/>
        <w:jc w:val="both"/>
        <w:rPr>
          <w:rFonts w:ascii="Arial" w:hAnsi="Arial" w:cs="Arial"/>
        </w:rPr>
      </w:pPr>
      <w:r w:rsidRPr="00F00648">
        <w:rPr>
          <w:rFonts w:ascii="Arial" w:hAnsi="Arial" w:cs="Arial"/>
        </w:rPr>
        <w:t xml:space="preserve">Throughout the year, themes will be revisited in both English and Maths in order to further consolidate skills and understanding.  Wherever possible, other subjects will use the skills that have been taught in Maths and English lessons.   </w:t>
      </w:r>
    </w:p>
    <w:p w:rsidR="005919FD" w:rsidRPr="00F00648" w:rsidRDefault="005919FD" w:rsidP="005919FD">
      <w:pPr>
        <w:spacing w:before="1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10"/>
        <w:gridCol w:w="2693"/>
        <w:gridCol w:w="2644"/>
        <w:gridCol w:w="36"/>
      </w:tblGrid>
      <w:tr w:rsidR="005919FD" w:rsidRPr="00F00648" w:rsidTr="00855980">
        <w:trPr>
          <w:jc w:val="center"/>
        </w:trPr>
        <w:tc>
          <w:tcPr>
            <w:tcW w:w="1817" w:type="dxa"/>
            <w:shd w:val="clear" w:color="auto" w:fill="auto"/>
          </w:tcPr>
          <w:p w:rsidR="005919FD" w:rsidRPr="001D735E" w:rsidRDefault="005919FD" w:rsidP="00855980">
            <w:pPr>
              <w:spacing w:before="120"/>
              <w:rPr>
                <w:rFonts w:ascii="Arial" w:hAnsi="Arial" w:cs="Arial"/>
                <w:b/>
                <w:sz w:val="20"/>
                <w:szCs w:val="20"/>
              </w:rPr>
            </w:pPr>
          </w:p>
        </w:tc>
        <w:tc>
          <w:tcPr>
            <w:tcW w:w="2410" w:type="dxa"/>
            <w:shd w:val="clear" w:color="auto" w:fill="auto"/>
          </w:tcPr>
          <w:p w:rsidR="005919FD" w:rsidRPr="001D735E" w:rsidRDefault="005919FD" w:rsidP="00855980">
            <w:pPr>
              <w:spacing w:before="120"/>
              <w:ind w:left="720"/>
              <w:rPr>
                <w:rFonts w:ascii="Arial" w:hAnsi="Arial" w:cs="Arial"/>
                <w:b/>
                <w:sz w:val="20"/>
                <w:szCs w:val="20"/>
              </w:rPr>
            </w:pPr>
            <w:r w:rsidRPr="001D735E">
              <w:rPr>
                <w:rFonts w:ascii="Arial" w:hAnsi="Arial" w:cs="Arial"/>
                <w:b/>
                <w:sz w:val="20"/>
                <w:szCs w:val="20"/>
              </w:rPr>
              <w:t>Autumn</w:t>
            </w:r>
          </w:p>
        </w:tc>
        <w:tc>
          <w:tcPr>
            <w:tcW w:w="2693" w:type="dxa"/>
            <w:shd w:val="clear" w:color="auto" w:fill="auto"/>
          </w:tcPr>
          <w:p w:rsidR="005919FD" w:rsidRPr="001D735E" w:rsidRDefault="005919FD" w:rsidP="00855980">
            <w:pPr>
              <w:spacing w:before="120"/>
              <w:ind w:left="720"/>
              <w:rPr>
                <w:rFonts w:ascii="Arial" w:hAnsi="Arial" w:cs="Arial"/>
                <w:b/>
                <w:sz w:val="20"/>
                <w:szCs w:val="20"/>
              </w:rPr>
            </w:pPr>
            <w:r>
              <w:rPr>
                <w:rFonts w:ascii="Arial" w:hAnsi="Arial" w:cs="Arial"/>
                <w:b/>
                <w:sz w:val="20"/>
                <w:szCs w:val="20"/>
              </w:rPr>
              <w:t>Spring</w:t>
            </w:r>
          </w:p>
        </w:tc>
        <w:tc>
          <w:tcPr>
            <w:tcW w:w="2680" w:type="dxa"/>
            <w:gridSpan w:val="2"/>
            <w:shd w:val="clear" w:color="auto" w:fill="auto"/>
          </w:tcPr>
          <w:p w:rsidR="005919FD" w:rsidRPr="001D735E" w:rsidRDefault="005919FD" w:rsidP="00855980">
            <w:pPr>
              <w:spacing w:before="120"/>
              <w:ind w:left="720"/>
              <w:rPr>
                <w:rFonts w:ascii="Arial" w:hAnsi="Arial" w:cs="Arial"/>
                <w:b/>
                <w:sz w:val="20"/>
                <w:szCs w:val="20"/>
              </w:rPr>
            </w:pPr>
            <w:r>
              <w:rPr>
                <w:rFonts w:ascii="Arial" w:hAnsi="Arial" w:cs="Arial"/>
                <w:b/>
                <w:sz w:val="20"/>
                <w:szCs w:val="20"/>
              </w:rPr>
              <w:t>Summer</w:t>
            </w:r>
          </w:p>
        </w:tc>
      </w:tr>
      <w:tr w:rsidR="005919FD" w:rsidRPr="00F00648" w:rsidTr="00855980">
        <w:trPr>
          <w:gridAfter w:val="1"/>
          <w:wAfter w:w="36" w:type="dxa"/>
          <w:jc w:val="center"/>
        </w:trPr>
        <w:tc>
          <w:tcPr>
            <w:tcW w:w="1817" w:type="dxa"/>
            <w:shd w:val="clear" w:color="auto" w:fill="auto"/>
          </w:tcPr>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English</w:t>
            </w:r>
          </w:p>
        </w:tc>
        <w:tc>
          <w:tcPr>
            <w:tcW w:w="7747" w:type="dxa"/>
            <w:gridSpan w:val="3"/>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 xml:space="preserve">Each week, the children will focus on an element of grammar as well as a particular style of writing, e.g. journalistic writing, information texts, poetry, biographies.   The different forms of writing will be revisited throughout the year, with the children applying their skills to written work that is linked to their termly topics.   </w:t>
            </w:r>
          </w:p>
        </w:tc>
      </w:tr>
      <w:tr w:rsidR="005919FD" w:rsidRPr="00F00648" w:rsidTr="00855980">
        <w:trPr>
          <w:gridAfter w:val="1"/>
          <w:wAfter w:w="36" w:type="dxa"/>
          <w:jc w:val="center"/>
        </w:trPr>
        <w:tc>
          <w:tcPr>
            <w:tcW w:w="1817" w:type="dxa"/>
            <w:shd w:val="clear" w:color="auto" w:fill="auto"/>
          </w:tcPr>
          <w:p w:rsidR="005919FD" w:rsidRPr="001D735E" w:rsidRDefault="005919FD" w:rsidP="00855980">
            <w:pPr>
              <w:spacing w:before="120"/>
              <w:rPr>
                <w:rFonts w:ascii="Arial" w:hAnsi="Arial" w:cs="Arial"/>
                <w:b/>
                <w:sz w:val="20"/>
                <w:szCs w:val="20"/>
              </w:rPr>
            </w:pPr>
          </w:p>
        </w:tc>
        <w:tc>
          <w:tcPr>
            <w:tcW w:w="7747" w:type="dxa"/>
            <w:gridSpan w:val="3"/>
            <w:shd w:val="clear" w:color="auto" w:fill="auto"/>
          </w:tcPr>
          <w:p w:rsidR="005919FD" w:rsidRPr="001D735E" w:rsidRDefault="005919FD" w:rsidP="00855980">
            <w:pPr>
              <w:spacing w:before="120"/>
              <w:rPr>
                <w:rFonts w:ascii="Arial" w:hAnsi="Arial" w:cs="Arial"/>
                <w:sz w:val="20"/>
                <w:szCs w:val="20"/>
              </w:rPr>
            </w:pPr>
            <w:proofErr w:type="spellStart"/>
            <w:r w:rsidRPr="001D735E">
              <w:rPr>
                <w:rFonts w:ascii="Arial" w:hAnsi="Arial" w:cs="Arial"/>
                <w:sz w:val="20"/>
                <w:szCs w:val="20"/>
              </w:rPr>
              <w:t>SPaG</w:t>
            </w:r>
            <w:proofErr w:type="spellEnd"/>
            <w:r w:rsidRPr="001D735E">
              <w:rPr>
                <w:rFonts w:ascii="Arial" w:hAnsi="Arial" w:cs="Arial"/>
                <w:sz w:val="20"/>
                <w:szCs w:val="20"/>
              </w:rPr>
              <w:t xml:space="preserve"> objectives are covered continuously across all three terms. Previously taught genres are also revisited across the curriculum. </w:t>
            </w:r>
          </w:p>
        </w:tc>
      </w:tr>
      <w:tr w:rsidR="005919FD" w:rsidRPr="00F00648" w:rsidTr="00855980">
        <w:trPr>
          <w:gridAfter w:val="1"/>
          <w:wAfter w:w="36" w:type="dxa"/>
          <w:jc w:val="center"/>
        </w:trPr>
        <w:tc>
          <w:tcPr>
            <w:tcW w:w="1817" w:type="dxa"/>
            <w:shd w:val="clear" w:color="auto" w:fill="auto"/>
          </w:tcPr>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Maths</w:t>
            </w:r>
            <w:r w:rsidRPr="001D735E">
              <w:rPr>
                <w:rFonts w:ascii="Arial" w:hAnsi="Arial" w:cs="Arial"/>
                <w:noProof/>
                <w:sz w:val="20"/>
                <w:szCs w:val="20"/>
              </w:rPr>
              <w:drawing>
                <wp:inline distT="0" distB="0" distL="0" distR="0">
                  <wp:extent cx="981075" cy="590550"/>
                  <wp:effectExtent l="0" t="0" r="9525" b="0"/>
                  <wp:docPr id="4" name="Picture 4"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p>
        </w:tc>
        <w:tc>
          <w:tcPr>
            <w:tcW w:w="2410"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Number and Place Value;</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Addition, subtraction, multiplication and division;</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Fractions.</w:t>
            </w:r>
          </w:p>
        </w:tc>
        <w:tc>
          <w:tcPr>
            <w:tcW w:w="2693" w:type="dxa"/>
            <w:shd w:val="clear" w:color="auto" w:fill="auto"/>
          </w:tcPr>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Decimals;</w:t>
            </w:r>
          </w:p>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Percentages;</w:t>
            </w:r>
          </w:p>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Measurement;</w:t>
            </w:r>
          </w:p>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Algebra;</w:t>
            </w:r>
          </w:p>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Ratio;</w:t>
            </w:r>
          </w:p>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Geometry;</w:t>
            </w:r>
          </w:p>
          <w:p w:rsidR="005919FD" w:rsidRPr="001D735E" w:rsidRDefault="005919FD" w:rsidP="00855980">
            <w:pPr>
              <w:spacing w:before="120"/>
              <w:jc w:val="both"/>
              <w:rPr>
                <w:rFonts w:ascii="Arial" w:hAnsi="Arial" w:cs="Arial"/>
                <w:sz w:val="20"/>
                <w:szCs w:val="20"/>
              </w:rPr>
            </w:pPr>
            <w:r w:rsidRPr="001D735E">
              <w:rPr>
                <w:rFonts w:ascii="Arial" w:hAnsi="Arial" w:cs="Arial"/>
                <w:sz w:val="20"/>
                <w:szCs w:val="20"/>
              </w:rPr>
              <w:t>Statistics.</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 xml:space="preserve">     </w:t>
            </w:r>
          </w:p>
        </w:tc>
        <w:tc>
          <w:tcPr>
            <w:tcW w:w="2644"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Geometry – properties of shape;</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Geometry – position and direction.</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 xml:space="preserve">Post SATs project work to ensure readiness for secondary school.           </w:t>
            </w:r>
          </w:p>
        </w:tc>
      </w:tr>
      <w:tr w:rsidR="005919FD" w:rsidRPr="00F00648" w:rsidTr="00855980">
        <w:trPr>
          <w:gridAfter w:val="1"/>
          <w:wAfter w:w="36" w:type="dxa"/>
          <w:jc w:val="center"/>
        </w:trPr>
        <w:tc>
          <w:tcPr>
            <w:tcW w:w="1817" w:type="dxa"/>
            <w:shd w:val="clear" w:color="auto" w:fill="auto"/>
          </w:tcPr>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Science</w:t>
            </w:r>
          </w:p>
          <w:p w:rsidR="005919FD" w:rsidRPr="001D735E" w:rsidRDefault="005919FD" w:rsidP="00855980">
            <w:pPr>
              <w:spacing w:before="120"/>
              <w:rPr>
                <w:rFonts w:ascii="Arial" w:hAnsi="Arial" w:cs="Arial"/>
                <w:b/>
                <w:sz w:val="20"/>
                <w:szCs w:val="20"/>
              </w:rPr>
            </w:pPr>
          </w:p>
        </w:tc>
        <w:tc>
          <w:tcPr>
            <w:tcW w:w="2410"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Classification of living things.</w:t>
            </w:r>
          </w:p>
          <w:p w:rsidR="005919FD" w:rsidRPr="001D735E" w:rsidRDefault="005919FD" w:rsidP="00855980">
            <w:pPr>
              <w:spacing w:before="120"/>
              <w:rPr>
                <w:rFonts w:ascii="Arial" w:hAnsi="Arial" w:cs="Arial"/>
                <w:sz w:val="20"/>
                <w:szCs w:val="20"/>
              </w:rPr>
            </w:pPr>
          </w:p>
          <w:p w:rsidR="005919FD" w:rsidRPr="001D735E" w:rsidRDefault="005919FD" w:rsidP="00855980">
            <w:pPr>
              <w:spacing w:before="120"/>
              <w:rPr>
                <w:rFonts w:ascii="Arial" w:hAnsi="Arial" w:cs="Arial"/>
                <w:sz w:val="20"/>
                <w:szCs w:val="20"/>
              </w:rPr>
            </w:pPr>
            <w:r w:rsidRPr="001D735E">
              <w:rPr>
                <w:rFonts w:ascii="Arial" w:hAnsi="Arial" w:cs="Arial"/>
                <w:sz w:val="20"/>
                <w:szCs w:val="20"/>
              </w:rPr>
              <w:t>Electricity</w:t>
            </w:r>
          </w:p>
          <w:p w:rsidR="005919FD" w:rsidRPr="001D735E" w:rsidRDefault="005919FD" w:rsidP="00855980">
            <w:pPr>
              <w:spacing w:before="120"/>
              <w:ind w:left="720"/>
              <w:rPr>
                <w:rFonts w:ascii="Arial" w:hAnsi="Arial" w:cs="Arial"/>
                <w:sz w:val="20"/>
                <w:szCs w:val="20"/>
              </w:rPr>
            </w:pPr>
          </w:p>
        </w:tc>
        <w:tc>
          <w:tcPr>
            <w:tcW w:w="2693"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Light</w:t>
            </w:r>
          </w:p>
          <w:p w:rsidR="005919FD" w:rsidRPr="001D735E" w:rsidRDefault="005919FD" w:rsidP="00855980">
            <w:pPr>
              <w:spacing w:before="120"/>
              <w:rPr>
                <w:rFonts w:ascii="Arial" w:hAnsi="Arial" w:cs="Arial"/>
                <w:sz w:val="20"/>
                <w:szCs w:val="20"/>
              </w:rPr>
            </w:pPr>
          </w:p>
          <w:p w:rsidR="005919FD" w:rsidRPr="001D735E" w:rsidRDefault="005919FD" w:rsidP="00855980">
            <w:pPr>
              <w:spacing w:before="120"/>
              <w:rPr>
                <w:rFonts w:ascii="Arial" w:hAnsi="Arial" w:cs="Arial"/>
                <w:sz w:val="20"/>
                <w:szCs w:val="20"/>
              </w:rPr>
            </w:pPr>
            <w:r w:rsidRPr="001D735E">
              <w:rPr>
                <w:rFonts w:ascii="Arial" w:hAnsi="Arial" w:cs="Arial"/>
                <w:sz w:val="20"/>
                <w:szCs w:val="20"/>
              </w:rPr>
              <w:t>Circulation</w:t>
            </w:r>
          </w:p>
        </w:tc>
        <w:tc>
          <w:tcPr>
            <w:tcW w:w="2644"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Evolution and Inheritance</w:t>
            </w:r>
          </w:p>
          <w:p w:rsidR="005919FD" w:rsidRPr="001D735E" w:rsidRDefault="005919FD" w:rsidP="00855980">
            <w:pPr>
              <w:spacing w:before="120"/>
              <w:ind w:left="720"/>
              <w:rPr>
                <w:rFonts w:ascii="Arial" w:hAnsi="Arial" w:cs="Arial"/>
                <w:sz w:val="20"/>
                <w:szCs w:val="20"/>
              </w:rPr>
            </w:pPr>
          </w:p>
        </w:tc>
      </w:tr>
      <w:tr w:rsidR="005919FD" w:rsidRPr="00F00648" w:rsidTr="00855980">
        <w:trPr>
          <w:gridAfter w:val="1"/>
          <w:wAfter w:w="36" w:type="dxa"/>
          <w:jc w:val="center"/>
        </w:trPr>
        <w:tc>
          <w:tcPr>
            <w:tcW w:w="1817" w:type="dxa"/>
            <w:shd w:val="clear" w:color="auto" w:fill="auto"/>
          </w:tcPr>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Computing</w:t>
            </w:r>
          </w:p>
        </w:tc>
        <w:tc>
          <w:tcPr>
            <w:tcW w:w="2410"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E Safety;</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Control and programming;</w:t>
            </w:r>
          </w:p>
          <w:p w:rsidR="005919FD" w:rsidRDefault="005919FD" w:rsidP="00855980">
            <w:pPr>
              <w:spacing w:before="120"/>
              <w:rPr>
                <w:rFonts w:ascii="Arial" w:hAnsi="Arial" w:cs="Arial"/>
                <w:sz w:val="20"/>
                <w:szCs w:val="20"/>
              </w:rPr>
            </w:pPr>
            <w:r>
              <w:rPr>
                <w:rFonts w:ascii="Arial" w:hAnsi="Arial" w:cs="Arial"/>
                <w:sz w:val="20"/>
                <w:szCs w:val="20"/>
              </w:rPr>
              <w:t>Research;</w:t>
            </w:r>
          </w:p>
          <w:p w:rsidR="005919FD" w:rsidRPr="001D735E" w:rsidRDefault="005919FD" w:rsidP="00855980">
            <w:pPr>
              <w:spacing w:before="120"/>
              <w:rPr>
                <w:rFonts w:ascii="Arial" w:hAnsi="Arial" w:cs="Arial"/>
                <w:sz w:val="20"/>
                <w:szCs w:val="20"/>
              </w:rPr>
            </w:pPr>
            <w:r>
              <w:rPr>
                <w:rFonts w:ascii="Arial" w:hAnsi="Arial" w:cs="Arial"/>
                <w:sz w:val="20"/>
                <w:szCs w:val="20"/>
              </w:rPr>
              <w:t>Multimedia</w:t>
            </w:r>
            <w:r w:rsidRPr="001D735E">
              <w:rPr>
                <w:rFonts w:ascii="Arial" w:hAnsi="Arial" w:cs="Arial"/>
                <w:sz w:val="20"/>
                <w:szCs w:val="20"/>
              </w:rPr>
              <w:t>.</w:t>
            </w:r>
          </w:p>
          <w:p w:rsidR="005919FD" w:rsidRPr="001D735E" w:rsidRDefault="005919FD" w:rsidP="00855980">
            <w:pPr>
              <w:spacing w:before="120"/>
              <w:rPr>
                <w:rFonts w:ascii="Arial" w:hAnsi="Arial" w:cs="Arial"/>
                <w:sz w:val="20"/>
                <w:szCs w:val="20"/>
              </w:rPr>
            </w:pPr>
          </w:p>
        </w:tc>
        <w:tc>
          <w:tcPr>
            <w:tcW w:w="2693"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Databases and spread sheets;</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Data logging;</w:t>
            </w:r>
          </w:p>
          <w:p w:rsidR="005919FD" w:rsidRDefault="005919FD" w:rsidP="00855980">
            <w:pPr>
              <w:spacing w:before="120"/>
              <w:rPr>
                <w:rFonts w:ascii="Arial" w:hAnsi="Arial" w:cs="Arial"/>
                <w:sz w:val="20"/>
                <w:szCs w:val="20"/>
              </w:rPr>
            </w:pPr>
            <w:r>
              <w:rPr>
                <w:rFonts w:ascii="Arial" w:hAnsi="Arial" w:cs="Arial"/>
                <w:sz w:val="20"/>
                <w:szCs w:val="20"/>
              </w:rPr>
              <w:t>Research;</w:t>
            </w:r>
          </w:p>
          <w:p w:rsidR="005919FD" w:rsidRPr="001D735E" w:rsidRDefault="005919FD" w:rsidP="00855980">
            <w:pPr>
              <w:spacing w:before="120"/>
              <w:rPr>
                <w:rFonts w:ascii="Arial" w:hAnsi="Arial" w:cs="Arial"/>
                <w:sz w:val="20"/>
                <w:szCs w:val="20"/>
              </w:rPr>
            </w:pPr>
            <w:r>
              <w:rPr>
                <w:rFonts w:ascii="Arial" w:hAnsi="Arial" w:cs="Arial"/>
                <w:sz w:val="20"/>
                <w:szCs w:val="20"/>
              </w:rPr>
              <w:t>Multimedia</w:t>
            </w:r>
            <w:r w:rsidRPr="001D735E">
              <w:rPr>
                <w:rFonts w:ascii="Arial" w:hAnsi="Arial" w:cs="Arial"/>
                <w:sz w:val="20"/>
                <w:szCs w:val="20"/>
              </w:rPr>
              <w:t>.</w:t>
            </w:r>
          </w:p>
        </w:tc>
        <w:tc>
          <w:tcPr>
            <w:tcW w:w="2644"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Databases and spread sheets;</w:t>
            </w:r>
          </w:p>
          <w:p w:rsidR="005919FD" w:rsidRPr="001D735E" w:rsidRDefault="005919FD" w:rsidP="00855980">
            <w:pPr>
              <w:spacing w:before="120"/>
              <w:rPr>
                <w:rFonts w:ascii="Arial" w:hAnsi="Arial" w:cs="Arial"/>
                <w:sz w:val="20"/>
                <w:szCs w:val="20"/>
              </w:rPr>
            </w:pPr>
            <w:r w:rsidRPr="001D735E">
              <w:rPr>
                <w:rFonts w:ascii="Arial" w:hAnsi="Arial" w:cs="Arial"/>
                <w:sz w:val="20"/>
                <w:szCs w:val="20"/>
              </w:rPr>
              <w:t>Control and programming;</w:t>
            </w:r>
          </w:p>
          <w:p w:rsidR="005919FD" w:rsidRDefault="005919FD" w:rsidP="00855980">
            <w:pPr>
              <w:spacing w:before="120"/>
              <w:rPr>
                <w:rFonts w:ascii="Arial" w:hAnsi="Arial" w:cs="Arial"/>
                <w:sz w:val="20"/>
                <w:szCs w:val="20"/>
              </w:rPr>
            </w:pPr>
            <w:r w:rsidRPr="001D735E">
              <w:rPr>
                <w:rFonts w:ascii="Arial" w:hAnsi="Arial" w:cs="Arial"/>
                <w:sz w:val="20"/>
                <w:szCs w:val="20"/>
              </w:rPr>
              <w:t>Research</w:t>
            </w:r>
            <w:r>
              <w:rPr>
                <w:rFonts w:ascii="Arial" w:hAnsi="Arial" w:cs="Arial"/>
                <w:sz w:val="20"/>
                <w:szCs w:val="20"/>
              </w:rPr>
              <w:t>;</w:t>
            </w:r>
          </w:p>
          <w:p w:rsidR="005919FD" w:rsidRPr="001D735E" w:rsidRDefault="005919FD" w:rsidP="00855980">
            <w:pPr>
              <w:spacing w:before="120"/>
              <w:rPr>
                <w:rFonts w:ascii="Arial" w:hAnsi="Arial" w:cs="Arial"/>
                <w:sz w:val="20"/>
                <w:szCs w:val="20"/>
              </w:rPr>
            </w:pPr>
            <w:r>
              <w:rPr>
                <w:rFonts w:ascii="Arial" w:hAnsi="Arial" w:cs="Arial"/>
                <w:sz w:val="20"/>
                <w:szCs w:val="20"/>
              </w:rPr>
              <w:t>Multimedia.</w:t>
            </w:r>
          </w:p>
        </w:tc>
      </w:tr>
      <w:tr w:rsidR="005919FD" w:rsidRPr="00F00648" w:rsidTr="00855980">
        <w:trPr>
          <w:gridAfter w:val="1"/>
          <w:wAfter w:w="36" w:type="dxa"/>
          <w:trHeight w:val="2658"/>
          <w:jc w:val="center"/>
        </w:trPr>
        <w:tc>
          <w:tcPr>
            <w:tcW w:w="1817" w:type="dxa"/>
            <w:shd w:val="clear" w:color="auto" w:fill="auto"/>
          </w:tcPr>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History /</w:t>
            </w:r>
          </w:p>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Geography/</w:t>
            </w:r>
          </w:p>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Art/</w:t>
            </w:r>
          </w:p>
          <w:p w:rsidR="005919FD" w:rsidRPr="001D735E" w:rsidRDefault="005919FD" w:rsidP="00855980">
            <w:pPr>
              <w:spacing w:before="120"/>
              <w:rPr>
                <w:rFonts w:ascii="Arial" w:hAnsi="Arial" w:cs="Arial"/>
                <w:b/>
                <w:sz w:val="20"/>
                <w:szCs w:val="20"/>
              </w:rPr>
            </w:pPr>
            <w:r w:rsidRPr="001D735E">
              <w:rPr>
                <w:rFonts w:ascii="Arial" w:hAnsi="Arial" w:cs="Arial"/>
                <w:b/>
                <w:sz w:val="20"/>
                <w:szCs w:val="20"/>
              </w:rPr>
              <w:t>DT</w:t>
            </w:r>
          </w:p>
          <w:p w:rsidR="005919FD" w:rsidRPr="001D735E" w:rsidRDefault="005919FD" w:rsidP="00855980">
            <w:pPr>
              <w:spacing w:before="120"/>
              <w:rPr>
                <w:rFonts w:ascii="Arial" w:hAnsi="Arial" w:cs="Arial"/>
                <w:b/>
                <w:sz w:val="20"/>
                <w:szCs w:val="20"/>
              </w:rPr>
            </w:pPr>
          </w:p>
        </w:tc>
        <w:tc>
          <w:tcPr>
            <w:tcW w:w="2410"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World War II – A turning point in British History</w:t>
            </w:r>
            <w:r>
              <w:rPr>
                <w:rFonts w:ascii="Arial" w:hAnsi="Arial" w:cs="Arial"/>
                <w:sz w:val="20"/>
                <w:szCs w:val="20"/>
              </w:rPr>
              <w:t>. Including a local study.</w:t>
            </w:r>
          </w:p>
          <w:p w:rsidR="005919FD" w:rsidRPr="001D735E" w:rsidRDefault="005919FD" w:rsidP="00855980">
            <w:pPr>
              <w:spacing w:before="120"/>
              <w:rPr>
                <w:rFonts w:ascii="Arial" w:hAnsi="Arial" w:cs="Arial"/>
                <w:b/>
                <w:sz w:val="20"/>
                <w:szCs w:val="20"/>
              </w:rPr>
            </w:pPr>
          </w:p>
          <w:p w:rsidR="005919FD" w:rsidRPr="001D735E" w:rsidRDefault="005919FD" w:rsidP="00855980">
            <w:pPr>
              <w:spacing w:before="120"/>
              <w:rPr>
                <w:rFonts w:ascii="Arial" w:hAnsi="Arial" w:cs="Arial"/>
                <w:b/>
                <w:sz w:val="20"/>
                <w:szCs w:val="20"/>
              </w:rPr>
            </w:pPr>
            <w:r w:rsidRPr="001D735E">
              <w:rPr>
                <w:rFonts w:ascii="Arial" w:hAnsi="Arial" w:cs="Arial"/>
                <w:noProof/>
                <w:sz w:val="20"/>
                <w:szCs w:val="20"/>
              </w:rPr>
              <w:drawing>
                <wp:inline distT="0" distB="0" distL="0" distR="0">
                  <wp:extent cx="1362075" cy="942975"/>
                  <wp:effectExtent l="0" t="0" r="9525" b="9525"/>
                  <wp:docPr id="3" name="Picture 3" descr="Image result for the bl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lit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942975"/>
                          </a:xfrm>
                          <a:prstGeom prst="rect">
                            <a:avLst/>
                          </a:prstGeom>
                          <a:noFill/>
                          <a:ln>
                            <a:noFill/>
                          </a:ln>
                        </pic:spPr>
                      </pic:pic>
                    </a:graphicData>
                  </a:graphic>
                </wp:inline>
              </w:drawing>
            </w:r>
          </w:p>
          <w:p w:rsidR="005919FD" w:rsidRPr="001D735E" w:rsidRDefault="005919FD" w:rsidP="00855980">
            <w:pPr>
              <w:spacing w:before="120"/>
              <w:rPr>
                <w:rFonts w:ascii="Arial" w:hAnsi="Arial" w:cs="Arial"/>
                <w:b/>
                <w:sz w:val="20"/>
                <w:szCs w:val="20"/>
              </w:rPr>
            </w:pPr>
          </w:p>
        </w:tc>
        <w:tc>
          <w:tcPr>
            <w:tcW w:w="2693"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The Ancient Egyptians – an early civilisation</w:t>
            </w:r>
          </w:p>
          <w:p w:rsidR="005919FD" w:rsidRPr="001D735E" w:rsidRDefault="005919FD" w:rsidP="00855980">
            <w:pPr>
              <w:spacing w:before="120"/>
              <w:rPr>
                <w:rFonts w:ascii="Arial" w:hAnsi="Arial" w:cs="Arial"/>
                <w:noProof/>
                <w:sz w:val="20"/>
                <w:szCs w:val="20"/>
              </w:rPr>
            </w:pPr>
          </w:p>
          <w:p w:rsidR="005919FD" w:rsidRPr="001D735E" w:rsidRDefault="005919FD" w:rsidP="00855980">
            <w:pPr>
              <w:spacing w:before="120"/>
              <w:jc w:val="center"/>
              <w:rPr>
                <w:rFonts w:ascii="Arial" w:hAnsi="Arial" w:cs="Arial"/>
                <w:b/>
                <w:sz w:val="20"/>
                <w:szCs w:val="20"/>
              </w:rPr>
            </w:pPr>
            <w:r w:rsidRPr="001D735E">
              <w:rPr>
                <w:rFonts w:ascii="Arial" w:hAnsi="Arial" w:cs="Arial"/>
                <w:noProof/>
                <w:sz w:val="20"/>
                <w:szCs w:val="20"/>
              </w:rPr>
              <w:drawing>
                <wp:inline distT="0" distB="0" distL="0" distR="0">
                  <wp:extent cx="885825" cy="914400"/>
                  <wp:effectExtent l="0" t="0" r="9525" b="0"/>
                  <wp:docPr id="2" name="Picture 2" descr="Image result for the egyp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egypti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p>
          <w:p w:rsidR="005919FD" w:rsidRPr="001D735E" w:rsidRDefault="005919FD" w:rsidP="00855980">
            <w:pPr>
              <w:spacing w:before="120"/>
              <w:rPr>
                <w:rFonts w:ascii="Arial" w:hAnsi="Arial" w:cs="Arial"/>
                <w:b/>
                <w:sz w:val="20"/>
                <w:szCs w:val="20"/>
              </w:rPr>
            </w:pPr>
          </w:p>
        </w:tc>
        <w:tc>
          <w:tcPr>
            <w:tcW w:w="2644" w:type="dxa"/>
            <w:shd w:val="clear" w:color="auto" w:fill="auto"/>
          </w:tcPr>
          <w:p w:rsidR="005919FD" w:rsidRPr="001D735E" w:rsidRDefault="005919FD" w:rsidP="00855980">
            <w:pPr>
              <w:spacing w:before="120"/>
              <w:rPr>
                <w:rFonts w:ascii="Arial" w:hAnsi="Arial" w:cs="Arial"/>
                <w:sz w:val="20"/>
                <w:szCs w:val="20"/>
              </w:rPr>
            </w:pPr>
            <w:r w:rsidRPr="001D735E">
              <w:rPr>
                <w:rFonts w:ascii="Arial" w:hAnsi="Arial" w:cs="Arial"/>
                <w:sz w:val="20"/>
                <w:szCs w:val="20"/>
              </w:rPr>
              <w:t>Comparative studies (including Africa though links developed in clas</w:t>
            </w:r>
            <w:r>
              <w:rPr>
                <w:rFonts w:ascii="Arial" w:hAnsi="Arial" w:cs="Arial"/>
                <w:sz w:val="20"/>
                <w:szCs w:val="20"/>
              </w:rPr>
              <w:t>s.)</w:t>
            </w:r>
          </w:p>
          <w:p w:rsidR="005919FD" w:rsidRPr="001D735E" w:rsidRDefault="005919FD" w:rsidP="00855980">
            <w:pPr>
              <w:spacing w:before="120"/>
              <w:rPr>
                <w:rFonts w:ascii="Arial" w:hAnsi="Arial" w:cs="Arial"/>
                <w:b/>
                <w:sz w:val="20"/>
                <w:szCs w:val="20"/>
              </w:rPr>
            </w:pPr>
          </w:p>
          <w:p w:rsidR="005919FD" w:rsidRPr="001D735E" w:rsidRDefault="005919FD" w:rsidP="00855980">
            <w:pPr>
              <w:spacing w:before="120"/>
              <w:jc w:val="center"/>
              <w:rPr>
                <w:rFonts w:ascii="Arial" w:hAnsi="Arial" w:cs="Arial"/>
                <w:b/>
                <w:sz w:val="20"/>
                <w:szCs w:val="20"/>
              </w:rPr>
            </w:pPr>
            <w:r w:rsidRPr="001D735E">
              <w:rPr>
                <w:rFonts w:ascii="Arial" w:hAnsi="Arial" w:cs="Arial"/>
                <w:b/>
                <w:noProof/>
                <w:sz w:val="20"/>
                <w:szCs w:val="20"/>
              </w:rPr>
              <w:drawing>
                <wp:inline distT="0" distB="0" distL="0" distR="0">
                  <wp:extent cx="866775" cy="866775"/>
                  <wp:effectExtent l="0" t="0" r="9525" b="9525"/>
                  <wp:docPr id="1" name="Picture 1" descr="Image result for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bl>
    <w:p w:rsidR="005919FD" w:rsidRPr="00F00648" w:rsidRDefault="005919FD" w:rsidP="005919FD">
      <w:pPr>
        <w:spacing w:before="120"/>
        <w:rPr>
          <w:rFonts w:ascii="Arial" w:hAnsi="Arial" w:cs="Arial"/>
        </w:rPr>
      </w:pPr>
      <w:r w:rsidRPr="00F00648">
        <w:rPr>
          <w:rFonts w:ascii="Arial" w:hAnsi="Arial" w:cs="Arial"/>
        </w:rPr>
        <w:t>If you have any questions regarding how to support your child at home then please do not hesitate to contact me</w:t>
      </w:r>
      <w:r>
        <w:rPr>
          <w:rFonts w:ascii="Arial" w:hAnsi="Arial" w:cs="Arial"/>
        </w:rPr>
        <w:t>.</w:t>
      </w:r>
      <w:r w:rsidRPr="00F00648">
        <w:rPr>
          <w:rFonts w:ascii="Arial" w:hAnsi="Arial" w:cs="Arial"/>
        </w:rPr>
        <w:t xml:space="preserve">  </w:t>
      </w:r>
    </w:p>
    <w:p w:rsidR="002054FF" w:rsidRDefault="002054FF">
      <w:bookmarkStart w:id="0" w:name="_GoBack"/>
      <w:bookmarkEnd w:id="0"/>
    </w:p>
    <w:sectPr w:rsidR="002054FF" w:rsidSect="000D2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D"/>
    <w:rsid w:val="001B6703"/>
    <w:rsid w:val="002054FF"/>
    <w:rsid w:val="005919FD"/>
    <w:rsid w:val="00AE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39A17-A01F-4582-9553-789DF085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F7657AFF</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Whitehill</dc:creator>
  <cp:keywords/>
  <dc:description/>
  <cp:lastModifiedBy>M Whitehill</cp:lastModifiedBy>
  <cp:revision>1</cp:revision>
  <dcterms:created xsi:type="dcterms:W3CDTF">2018-09-27T08:37:00Z</dcterms:created>
  <dcterms:modified xsi:type="dcterms:W3CDTF">2018-09-27T08:38:00Z</dcterms:modified>
</cp:coreProperties>
</file>